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5E267B49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D16378" w:rsidRPr="00D16378">
        <w:rPr>
          <w:rFonts w:ascii="Sylfaen" w:hAnsi="Sylfaen" w:cs="Sylfaen"/>
          <w:sz w:val="20"/>
          <w:lang w:val="ka-GE"/>
        </w:rPr>
        <w:t xml:space="preserve">მ.იაშვილის სახელობის ბავშვთა ცენტრალური საავადმყოფოს ტერიტორიაზე არსებული  </w:t>
      </w:r>
      <w:r w:rsidR="00780378">
        <w:rPr>
          <w:rFonts w:ascii="Sylfaen" w:hAnsi="Sylfaen" w:cs="Sylfaen"/>
          <w:sz w:val="20"/>
          <w:lang w:val="ka-GE"/>
        </w:rPr>
        <w:t>ფართის</w:t>
      </w:r>
      <w:r w:rsidR="00D16378" w:rsidRPr="00D16378">
        <w:rPr>
          <w:rFonts w:ascii="Sylfaen" w:hAnsi="Sylfaen" w:cs="Sylfaen"/>
          <w:sz w:val="20"/>
          <w:lang w:val="ka-GE"/>
        </w:rPr>
        <w:t xml:space="preserve"> საცავად </w:t>
      </w:r>
      <w:r w:rsidR="00B963DB">
        <w:rPr>
          <w:rFonts w:ascii="Sylfaen" w:hAnsi="Sylfaen" w:cs="Sylfaen"/>
          <w:sz w:val="20"/>
          <w:lang w:val="ka-GE"/>
        </w:rPr>
        <w:t xml:space="preserve"> </w:t>
      </w:r>
      <w:r w:rsidR="00D16378" w:rsidRPr="00D16378">
        <w:rPr>
          <w:rFonts w:ascii="Sylfaen" w:hAnsi="Sylfaen" w:cs="Sylfaen"/>
          <w:sz w:val="20"/>
          <w:lang w:val="ka-GE"/>
        </w:rPr>
        <w:t>გადაკეთების  სარეკონსტრუქციო-სარემონტო სამუშაოების</w:t>
      </w:r>
      <w:r w:rsidR="00780378">
        <w:rPr>
          <w:rFonts w:ascii="Sylfaen" w:hAnsi="Sylfaen" w:cs="Sylfaen"/>
          <w:sz w:val="20"/>
          <w:lang w:val="ka-GE"/>
        </w:rPr>
        <w:t xml:space="preserve"> შესრულება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20B2189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B963DB">
        <w:rPr>
          <w:rFonts w:ascii="Sylfaen" w:hAnsi="Sylfaen" w:cs="Sylfaen"/>
          <w:sz w:val="20"/>
          <w:lang w:val="ka-GE"/>
        </w:rPr>
        <w:t>1</w:t>
      </w:r>
      <w:r w:rsidR="00D94364">
        <w:rPr>
          <w:rFonts w:ascii="Sylfaen" w:hAnsi="Sylfaen" w:cs="Sylfaen"/>
          <w:sz w:val="20"/>
          <w:lang w:val="ka-GE"/>
        </w:rPr>
        <w:t>3</w:t>
      </w:r>
      <w:r w:rsidR="00D16378">
        <w:rPr>
          <w:rFonts w:ascii="Sylfaen" w:hAnsi="Sylfaen" w:cs="Sylfaen"/>
          <w:sz w:val="20"/>
          <w:lang w:val="ka-GE"/>
        </w:rPr>
        <w:t xml:space="preserve"> ნოემბერი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689B7537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349A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963DB">
              <w:rPr>
                <w:rFonts w:ascii="Sylfaen" w:hAnsi="Sylfaen" w:cs="Sylfaen"/>
                <w:sz w:val="20"/>
                <w:lang w:val="ka-GE"/>
              </w:rPr>
              <w:t>8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ნოემბერი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512F3C21" w:rsidR="001213AD" w:rsidRPr="00C63B85" w:rsidRDefault="00B963D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7A59F0">
              <w:rPr>
                <w:rFonts w:ascii="Sylfaen" w:hAnsi="Sylfaen" w:cs="Sylfaen"/>
                <w:sz w:val="20"/>
                <w:lang w:val="ka-GE"/>
              </w:rPr>
              <w:t>3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16F61C9C" w:rsidR="001213AD" w:rsidRPr="00C63B85" w:rsidRDefault="007A59F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29FFABDE" w:rsidR="001213AD" w:rsidRPr="00C63B85" w:rsidRDefault="007A59F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1F165931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05547F0F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59B0645" w14:textId="774C31CC" w:rsidR="00780378" w:rsidRDefault="00780378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411F49CF" w14:textId="77777777" w:rsidR="00780378" w:rsidRPr="008D187E" w:rsidRDefault="00780378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422EE3E5" w14:textId="58C36685" w:rsidR="00D16378" w:rsidRDefault="0042617C" w:rsidP="00D1637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D16378">
        <w:rPr>
          <w:rFonts w:ascii="Sylfaen" w:hAnsi="Sylfaen" w:cs="Sylfaen"/>
          <w:sz w:val="20"/>
          <w:lang w:val="ka-GE"/>
        </w:rPr>
        <w:t xml:space="preserve">“-  </w:t>
      </w:r>
      <w:r w:rsidR="00D16378" w:rsidRPr="00D16378">
        <w:rPr>
          <w:rFonts w:ascii="Sylfaen" w:hAnsi="Sylfaen" w:cs="Sylfaen"/>
          <w:sz w:val="20"/>
          <w:lang w:val="ka-GE"/>
        </w:rPr>
        <w:t xml:space="preserve">მ.იაშვილის სახელობის ბავშვთა ცენტრალური საავადმყოფოს ტერიტორიაზე არსებული </w:t>
      </w:r>
      <w:r w:rsidR="00780378">
        <w:rPr>
          <w:rFonts w:ascii="Sylfaen" w:hAnsi="Sylfaen" w:cs="Sylfaen"/>
          <w:sz w:val="20"/>
          <w:lang w:val="ka-GE"/>
        </w:rPr>
        <w:t>ფართის</w:t>
      </w:r>
      <w:r w:rsidR="00D16378" w:rsidRPr="00D16378">
        <w:rPr>
          <w:rFonts w:ascii="Sylfaen" w:hAnsi="Sylfaen" w:cs="Sylfaen"/>
          <w:sz w:val="20"/>
          <w:lang w:val="ka-GE"/>
        </w:rPr>
        <w:t xml:space="preserve"> საცავად გადაკეთების  სარეკონსტრუქციო-სარემონტო სამუშაოების </w:t>
      </w:r>
      <w:r w:rsidR="00780378">
        <w:rPr>
          <w:rFonts w:ascii="Sylfaen" w:hAnsi="Sylfaen" w:cs="Sylfaen"/>
          <w:sz w:val="20"/>
          <w:lang w:val="ka-GE"/>
        </w:rPr>
        <w:t>შესრულება</w:t>
      </w:r>
    </w:p>
    <w:p w14:paraId="227BA4DB" w14:textId="5168F293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1B9374C8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</w:t>
      </w:r>
      <w:r w:rsidR="00000C88" w:rsidRPr="009F70AA">
        <w:rPr>
          <w:rFonts w:ascii="Sylfaen" w:hAnsi="Sylfaen" w:cs="Sylfaen"/>
          <w:sz w:val="20"/>
          <w:lang w:val="en-US"/>
        </w:rPr>
        <w:t xml:space="preserve"> </w:t>
      </w:r>
      <w:r w:rsidR="009F70AA" w:rsidRPr="009F70AA">
        <w:rPr>
          <w:rFonts w:ascii="Sylfaen" w:hAnsi="Sylfaen" w:cs="Sylfaen"/>
          <w:sz w:val="20"/>
          <w:lang w:val="ka-GE"/>
        </w:rPr>
        <w:t>375</w:t>
      </w:r>
      <w:r w:rsidR="004B1D4B" w:rsidRPr="009F70AA">
        <w:rPr>
          <w:rFonts w:ascii="Sylfaen" w:hAnsi="Sylfaen" w:cs="Sylfaen"/>
          <w:sz w:val="20"/>
          <w:lang w:val="ka-GE"/>
        </w:rPr>
        <w:t xml:space="preserve"> </w:t>
      </w:r>
      <w:r w:rsidRPr="009F70AA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18812F8E" w:rsidR="00187D40" w:rsidRPr="00D16378" w:rsidRDefault="00187D40" w:rsidP="001D2EDB">
      <w:pPr>
        <w:rPr>
          <w:rFonts w:ascii="Sylfaen" w:hAnsi="Sylfaen" w:cs="Sylfaen"/>
          <w:b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>ა</w:t>
      </w:r>
      <w:r w:rsidR="00B963DB">
        <w:rPr>
          <w:rFonts w:ascii="Sylfaen" w:hAnsi="Sylfaen" w:cs="Sylfaen"/>
          <w:sz w:val="20"/>
          <w:lang w:val="ka-GE"/>
        </w:rPr>
        <w:t xml:space="preserve"> </w:t>
      </w:r>
      <w:r w:rsidR="007A59F0">
        <w:rPr>
          <w:rFonts w:ascii="Sylfaen" w:hAnsi="Sylfaen" w:cs="Sylfaen"/>
          <w:sz w:val="20"/>
          <w:lang w:val="ka-GE"/>
        </w:rPr>
        <w:t>3</w:t>
      </w:r>
      <w:r w:rsidR="00D16378" w:rsidRPr="00D16378">
        <w:rPr>
          <w:rFonts w:ascii="Sylfaen" w:hAnsi="Sylfaen" w:cs="Sylfaen"/>
          <w:sz w:val="20"/>
          <w:lang w:val="ka-GE"/>
        </w:rPr>
        <w:t>5</w:t>
      </w:r>
      <w:r w:rsidR="004F1018">
        <w:rPr>
          <w:rFonts w:ascii="Sylfaen" w:hAnsi="Sylfaen" w:cs="Sylfaen"/>
          <w:sz w:val="20"/>
          <w:lang w:val="ka-GE"/>
        </w:rPr>
        <w:t xml:space="preserve"> (ოცდა</w:t>
      </w:r>
      <w:r w:rsidR="007A59F0">
        <w:rPr>
          <w:rFonts w:ascii="Sylfaen" w:hAnsi="Sylfaen" w:cs="Sylfaen"/>
          <w:sz w:val="20"/>
          <w:lang w:val="ka-GE"/>
        </w:rPr>
        <w:t>თხუთმეტი</w:t>
      </w:r>
      <w:r w:rsidRPr="00D16378">
        <w:rPr>
          <w:rFonts w:ascii="Sylfaen" w:hAnsi="Sylfaen" w:cs="Sylfaen"/>
          <w:sz w:val="20"/>
          <w:lang w:val="ka-GE"/>
        </w:rPr>
        <w:t xml:space="preserve">) </w:t>
      </w:r>
      <w:r w:rsidRPr="00F130B3">
        <w:rPr>
          <w:rFonts w:ascii="Sylfaen" w:hAnsi="Sylfaen" w:cs="Sylfaen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45E2DE3B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7A59F0">
        <w:rPr>
          <w:rFonts w:ascii="Sylfaen" w:hAnsi="Sylfaen" w:cs="Sylfaen"/>
          <w:sz w:val="20"/>
          <w:lang w:val="ka-GE"/>
        </w:rPr>
        <w:t>16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B963DB">
        <w:rPr>
          <w:rFonts w:ascii="Sylfaen" w:hAnsi="Sylfaen" w:cs="Sylfaen"/>
          <w:sz w:val="20"/>
          <w:lang w:val="ka-GE"/>
        </w:rPr>
        <w:t>ნოემბერი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  <w:bookmarkStart w:id="1" w:name="_GoBack"/>
      <w:bookmarkEnd w:id="1"/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BE1EF5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B963DB">
        <w:rPr>
          <w:rFonts w:ascii="Sylfaen" w:hAnsi="Sylfaen" w:cs="Sylfaen"/>
          <w:sz w:val="20"/>
          <w:lang w:val="ka-GE"/>
        </w:rPr>
        <w:t>1</w:t>
      </w:r>
      <w:r w:rsidR="007A59F0">
        <w:rPr>
          <w:rFonts w:ascii="Sylfaen" w:hAnsi="Sylfaen" w:cs="Sylfaen"/>
          <w:sz w:val="20"/>
          <w:lang w:val="ka-GE"/>
        </w:rPr>
        <w:t xml:space="preserve">3 </w:t>
      </w:r>
      <w:r w:rsidR="001C6045">
        <w:rPr>
          <w:rFonts w:ascii="Sylfaen" w:hAnsi="Sylfaen" w:cs="Sylfaen"/>
          <w:sz w:val="20"/>
          <w:lang w:val="ka-GE"/>
        </w:rPr>
        <w:t xml:space="preserve">ნოემბრის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AB06A76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1C6045">
        <w:rPr>
          <w:rFonts w:ascii="Sylfaen" w:hAnsi="Sylfaen" w:cstheme="minorHAnsi"/>
          <w:sz w:val="20"/>
          <w:lang w:val="ka-GE"/>
        </w:rPr>
        <w:t>გიორგი ხელოიშვილი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598590777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7EE1" w14:textId="77777777" w:rsidR="00565929" w:rsidRDefault="00565929">
      <w:r>
        <w:separator/>
      </w:r>
    </w:p>
  </w:endnote>
  <w:endnote w:type="continuationSeparator" w:id="0">
    <w:p w14:paraId="26C7C5F3" w14:textId="77777777" w:rsidR="00565929" w:rsidRDefault="005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16607" w14:textId="77777777" w:rsidR="00565929" w:rsidRDefault="00565929">
      <w:r>
        <w:separator/>
      </w:r>
    </w:p>
  </w:footnote>
  <w:footnote w:type="continuationSeparator" w:id="0">
    <w:p w14:paraId="6B7DC6F4" w14:textId="77777777" w:rsidR="00565929" w:rsidRDefault="0056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735AC14" w:rsidR="006B056D" w:rsidRPr="00780378" w:rsidRDefault="00403CCC" w:rsidP="00780378">
          <w:pPr>
            <w:pStyle w:val="Header"/>
            <w:jc w:val="center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ქ.თბილისში მ.იაშვილის სახელობის ბავშვთა ცენტრალური საავადმყოფოს ტერიტორიაზე არსებული </w:t>
          </w:r>
          <w:r w:rsidR="00780378">
            <w:rPr>
              <w:rFonts w:ascii="Sylfaen" w:hAnsi="Sylfaen" w:cs="Sylfaen"/>
              <w:sz w:val="20"/>
              <w:lang w:val="ka-GE"/>
            </w:rPr>
            <w:t>შენობის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საცავად გადაკეთების  სარეკონსტრუქციო</w:t>
          </w:r>
          <w:r w:rsidR="00780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სამუშაოები</w:t>
          </w:r>
          <w:r w:rsidR="00780378">
            <w:rPr>
              <w:rFonts w:ascii="Sylfaen" w:hAnsi="Sylfaen" w:cs="Sylfaen"/>
              <w:sz w:val="20"/>
              <w:lang w:val="ka-GE"/>
            </w:rPr>
            <w:t>ს შესრულება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1018"/>
    <w:rsid w:val="004F278B"/>
    <w:rsid w:val="004F7BB7"/>
    <w:rsid w:val="00504FFA"/>
    <w:rsid w:val="00513020"/>
    <w:rsid w:val="005173EB"/>
    <w:rsid w:val="00537F2C"/>
    <w:rsid w:val="00542DF9"/>
    <w:rsid w:val="00565929"/>
    <w:rsid w:val="00582D2C"/>
    <w:rsid w:val="005831B7"/>
    <w:rsid w:val="0058714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378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473F"/>
    <w:rsid w:val="00D94364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BD88-694C-402A-9782-AEEF5F0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34</cp:revision>
  <cp:lastPrinted>2018-06-11T07:22:00Z</cp:lastPrinted>
  <dcterms:created xsi:type="dcterms:W3CDTF">2019-03-07T21:54:00Z</dcterms:created>
  <dcterms:modified xsi:type="dcterms:W3CDTF">2019-11-08T14:30:00Z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